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23 145 vom 21. Juli 2023</w:t>
      </w:r>
    </w:p>
    <w:p>
      <w:r>
        <w:t>VS Kantonsgericht, 2023-07-21, FR</w:t>
      </w:r>
    </w:p>
    <w:p>
      <w:r>
        <w:rPr>
          <w:b/>
        </w:rPr>
        <w:t xml:space="preserve">Quelle: </w:t>
      </w:r>
      <w:r>
        <w:t>https://mcp.opencaselaw.ch/entscheid/vs_gerichte_C1 23 145</w:t>
      </w:r>
    </w:p>
    <w:p>
      <w:r>
        <w:t>FR: VS_GERICHTE C1 23 145 du 21 juillet 2023</w:t>
      </w:r>
    </w:p>
    <w:p>
      <w:r>
        <w:t>IT: VS_GERICHTE C1 23 145 del 21 luglio 2023</w:t>
      </w:r>
    </w:p>
    <w:p>
      <w:pPr>
        <w:pStyle w:val="Heading2"/>
      </w:pPr>
      <w:r>
        <w:t>Regeste</w:t>
      </w:r>
    </w:p>
    <w:p>
      <w:r>
        <w:t>C1 23 145 DÉCISION DU 21 JUILLET 2023 Tribunal cantonal du Valais Cour civile I Camille Rey-Mermet, juge; Mélanie Favre, greffière; en la cause X _________, instant et appelant, représenté par Maître Vincent Hertig, avocat à Martigny, contre Y _________, intimé et appelé, représenté par Maître Christian Favre, avocat à Sion. (passage nécessaire; irrecevabilité de l'appel) appel contre le jugement rendu le 6 juin 2023 par la juge des districts de A _________ (A _________ C1 21 218)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et 14 al. 1 LTar), l’émolument judiciaire est fixé, en l’absence de débours, à 200 fr. (art. 95 al. 2 let. b CPC; 16 al. 1 et 19 LTar); qu’il n’est pas alloué de dépens à l'appelé, qui n'a pas été invité à se déterminer; Par ces motifs,</w:t>
      </w:r>
    </w:p>
    <w:p>
      <w:r>
        <w:t>Décide</w:t>
      </w:r>
    </w:p>
    <w:p>
      <w:r>
        <w:t>1. L'appel est irrecevable. 2. Les frais, par 200 fr., sont mis à la charge de X _________. 3. Il n'est pas alloué de dépens. Sion, le 21 juillet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